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1918" w14:textId="77777777" w:rsidR="00182391" w:rsidRDefault="00182391" w:rsidP="007C3EF2">
      <w:pPr>
        <w:spacing w:after="0" w:line="240" w:lineRule="auto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</w:p>
    <w:p w14:paraId="131D4FE8" w14:textId="77777777" w:rsidR="00EC5800" w:rsidRDefault="00EC5800" w:rsidP="007C3EF2">
      <w:pPr>
        <w:spacing w:after="0" w:line="240" w:lineRule="auto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</w:p>
    <w:p w14:paraId="1C964F97" w14:textId="135F64D9" w:rsidR="00EC5800" w:rsidRDefault="00EC5800" w:rsidP="00EC5800">
      <w:pPr>
        <w:spacing w:after="0" w:line="240" w:lineRule="auto"/>
        <w:jc w:val="center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8D6825D" wp14:editId="1796D4AB">
            <wp:extent cx="685800" cy="645753"/>
            <wp:effectExtent l="0" t="0" r="0" b="2540"/>
            <wp:docPr id="167121293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1293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59" cy="65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3926" w14:textId="4CEDB386" w:rsidR="00EC5800" w:rsidRDefault="00EC5800" w:rsidP="00EC5800">
      <w:pPr>
        <w:spacing w:after="0" w:line="240" w:lineRule="auto"/>
        <w:jc w:val="center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  <w:t>Sandgate Parish Council</w:t>
      </w:r>
    </w:p>
    <w:p w14:paraId="4BC06F24" w14:textId="70E468AD" w:rsidR="00EC5800" w:rsidRDefault="00EC5800" w:rsidP="00EC5800">
      <w:pPr>
        <w:spacing w:after="0" w:line="240" w:lineRule="auto"/>
        <w:jc w:val="center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  <w:t>Annual Plan</w:t>
      </w:r>
    </w:p>
    <w:p w14:paraId="1BCF01DA" w14:textId="08E77C59" w:rsidR="00EC5800" w:rsidRDefault="00EC5800" w:rsidP="00EC5800">
      <w:pPr>
        <w:spacing w:after="0" w:line="240" w:lineRule="auto"/>
        <w:jc w:val="center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  <w:t>2023/24</w:t>
      </w:r>
    </w:p>
    <w:p w14:paraId="3FAF06F5" w14:textId="02D0FA73" w:rsidR="00FD601D" w:rsidRDefault="00FD601D" w:rsidP="00EC5800">
      <w:pPr>
        <w:spacing w:after="0" w:line="240" w:lineRule="auto"/>
        <w:jc w:val="center"/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  <w:t>To be reviewed on 26</w:t>
      </w:r>
      <w:r w:rsidRPr="00FD601D"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vertAlign w:val="superscript"/>
          <w:lang w:eastAsia="en-GB"/>
          <w14:ligatures w14:val="none"/>
        </w:rPr>
        <w:t>th</w:t>
      </w:r>
      <w:r>
        <w:rPr>
          <w:rFonts w:ascii="LucidaSansUnicode" w:eastAsia="Times New Roman" w:hAnsi="LucidaSansUnicode" w:cs="Times New Roman"/>
          <w:b/>
          <w:bCs/>
          <w:color w:val="231F20"/>
          <w:kern w:val="0"/>
          <w:sz w:val="24"/>
          <w:szCs w:val="24"/>
          <w:u w:val="single"/>
          <w:lang w:eastAsia="en-GB"/>
          <w14:ligatures w14:val="none"/>
        </w:rPr>
        <w:t xml:space="preserve"> June 2023</w:t>
      </w:r>
    </w:p>
    <w:p w14:paraId="2F3D3EC4" w14:textId="77777777" w:rsidR="004A4B78" w:rsidRDefault="004A4B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6754"/>
        <w:gridCol w:w="2596"/>
      </w:tblGrid>
      <w:tr w:rsidR="00F463E1" w14:paraId="2BC97E11" w14:textId="77777777" w:rsidTr="00366363">
        <w:tc>
          <w:tcPr>
            <w:tcW w:w="4598" w:type="dxa"/>
          </w:tcPr>
          <w:p w14:paraId="3533270E" w14:textId="70785DCC" w:rsidR="00B34C48" w:rsidRPr="003D5753" w:rsidRDefault="00F52B29" w:rsidP="003D5753">
            <w:pPr>
              <w:jc w:val="center"/>
              <w:rPr>
                <w:b/>
                <w:bCs/>
              </w:rPr>
            </w:pPr>
            <w:r w:rsidRPr="003D5753">
              <w:rPr>
                <w:b/>
                <w:bCs/>
              </w:rPr>
              <w:t>Aims and Objectives</w:t>
            </w:r>
          </w:p>
        </w:tc>
        <w:tc>
          <w:tcPr>
            <w:tcW w:w="6754" w:type="dxa"/>
          </w:tcPr>
          <w:p w14:paraId="066E01C1" w14:textId="13A9086C" w:rsidR="00B34C48" w:rsidRPr="00485174" w:rsidRDefault="00F52B29" w:rsidP="00415198">
            <w:pPr>
              <w:rPr>
                <w:b/>
                <w:bCs/>
              </w:rPr>
            </w:pPr>
            <w:r w:rsidRPr="00485174">
              <w:rPr>
                <w:b/>
                <w:bCs/>
              </w:rPr>
              <w:t>Actions</w:t>
            </w:r>
          </w:p>
        </w:tc>
        <w:tc>
          <w:tcPr>
            <w:tcW w:w="2596" w:type="dxa"/>
          </w:tcPr>
          <w:p w14:paraId="45460F65" w14:textId="4DA37FFB" w:rsidR="00B34C48" w:rsidRPr="00485174" w:rsidRDefault="00F52B29" w:rsidP="00415198">
            <w:pPr>
              <w:rPr>
                <w:b/>
                <w:bCs/>
              </w:rPr>
            </w:pPr>
            <w:r w:rsidRPr="00485174">
              <w:rPr>
                <w:b/>
                <w:bCs/>
              </w:rPr>
              <w:t>Responsible Officers/Members</w:t>
            </w:r>
            <w:r w:rsidR="00485174">
              <w:rPr>
                <w:b/>
                <w:bCs/>
              </w:rPr>
              <w:t>/Others</w:t>
            </w:r>
          </w:p>
        </w:tc>
      </w:tr>
      <w:tr w:rsidR="00F463E1" w14:paraId="668E2A2F" w14:textId="77777777" w:rsidTr="00366363">
        <w:tc>
          <w:tcPr>
            <w:tcW w:w="4598" w:type="dxa"/>
          </w:tcPr>
          <w:p w14:paraId="6BF62CFD" w14:textId="1D9FB9BF" w:rsidR="00B34C48" w:rsidRPr="003D5753" w:rsidRDefault="00B34C48" w:rsidP="00415198">
            <w:pPr>
              <w:rPr>
                <w:b/>
                <w:bCs/>
              </w:rPr>
            </w:pPr>
            <w:r w:rsidRPr="003D5753">
              <w:rPr>
                <w:b/>
                <w:bCs/>
              </w:rPr>
              <w:t>Public realm- Provide a first-class public environment which promotes community use and supports a diverse and vibrant business community</w:t>
            </w:r>
          </w:p>
        </w:tc>
        <w:tc>
          <w:tcPr>
            <w:tcW w:w="6754" w:type="dxa"/>
          </w:tcPr>
          <w:p w14:paraId="61A9301B" w14:textId="0883CF7C" w:rsidR="00B34C48" w:rsidRDefault="00B34C48" w:rsidP="00BD6D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</w:pPr>
            <w:r>
              <w:t>Introduction of solar panels onto assets for clean, renewable energy</w:t>
            </w:r>
          </w:p>
          <w:p w14:paraId="32A77591" w14:textId="0B176B27" w:rsidR="00B34C48" w:rsidRDefault="00B34C48" w:rsidP="00BD6D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</w:pPr>
            <w:r>
              <w:t xml:space="preserve">Ensure all land management contractors have Health and Safety and ROSPA training  and appropriate equipment to ensure that assets are </w:t>
            </w:r>
            <w:r w:rsidR="00CF66A8">
              <w:t>maintained</w:t>
            </w:r>
            <w:r>
              <w:t xml:space="preserve"> in optimal condition</w:t>
            </w:r>
          </w:p>
          <w:p w14:paraId="5D561BE2" w14:textId="0896DA56" w:rsidR="00B34C48" w:rsidRDefault="00B34C48" w:rsidP="00BD6D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</w:pPr>
            <w:r>
              <w:t>Continue to liaise with caretaking staff to identify any issues which would diminish customer satisfaction or impede usage of the recreation areas</w:t>
            </w:r>
            <w:r w:rsidR="00BD6DEC">
              <w:t>.</w:t>
            </w:r>
          </w:p>
          <w:p w14:paraId="0A423812" w14:textId="77777777" w:rsidR="007D3478" w:rsidRDefault="00B34C48" w:rsidP="00BD6D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</w:pPr>
            <w:r>
              <w:t>Investigate possible partnership working and sponsorship opportunities to enhance the provision of play equipment, seating and structures in parks and open areas.</w:t>
            </w:r>
          </w:p>
          <w:p w14:paraId="1D07CC5D" w14:textId="1E42CA38" w:rsidR="00485174" w:rsidRDefault="00485174" w:rsidP="00BD6D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</w:pPr>
            <w:r>
              <w:t>Partnership working with the Sandgate Environmental Group to</w:t>
            </w:r>
            <w:r w:rsidR="00CF66A8">
              <w:t xml:space="preserve"> </w:t>
            </w:r>
            <w:r>
              <w:t>schedule regular litter picking of the area and beach</w:t>
            </w:r>
            <w:r w:rsidR="00BD6DEC">
              <w:t>.</w:t>
            </w:r>
          </w:p>
          <w:p w14:paraId="5E28C571" w14:textId="0B8F50A6" w:rsidR="00F463E1" w:rsidRDefault="00F463E1" w:rsidP="00BD6D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360"/>
            </w:pPr>
            <w:r>
              <w:t xml:space="preserve">Renewal of </w:t>
            </w:r>
            <w:r w:rsidRPr="00F463E1">
              <w:t>caretaker and grounds maintenance contracts</w:t>
            </w:r>
            <w:r>
              <w:t xml:space="preserve">, expanding </w:t>
            </w:r>
            <w:r w:rsidRPr="00F463E1">
              <w:t xml:space="preserve">their scope and any additions / deletions / review prior to retendering. </w:t>
            </w:r>
          </w:p>
        </w:tc>
        <w:tc>
          <w:tcPr>
            <w:tcW w:w="2596" w:type="dxa"/>
          </w:tcPr>
          <w:p w14:paraId="5D2B70AB" w14:textId="2B7B1EAB" w:rsidR="00B34C48" w:rsidRDefault="003D5753" w:rsidP="00415198">
            <w:r>
              <w:t>Clerk/ Caretaking staff /Members</w:t>
            </w:r>
          </w:p>
        </w:tc>
      </w:tr>
      <w:tr w:rsidR="00F463E1" w14:paraId="6AE910A3" w14:textId="77777777" w:rsidTr="00366363">
        <w:tc>
          <w:tcPr>
            <w:tcW w:w="4598" w:type="dxa"/>
          </w:tcPr>
          <w:p w14:paraId="76F533A6" w14:textId="6BE92B40" w:rsidR="00B34C48" w:rsidRPr="003D5753" w:rsidRDefault="00B34C48" w:rsidP="00415198">
            <w:pPr>
              <w:rPr>
                <w:b/>
                <w:bCs/>
              </w:rPr>
            </w:pPr>
            <w:r w:rsidRPr="003D5753">
              <w:rPr>
                <w:b/>
                <w:bCs/>
              </w:rPr>
              <w:t>Promotion</w:t>
            </w:r>
            <w:r w:rsidR="003D5753">
              <w:rPr>
                <w:b/>
                <w:bCs/>
              </w:rPr>
              <w:t xml:space="preserve">-To ensure that the area’s, </w:t>
            </w:r>
            <w:proofErr w:type="gramStart"/>
            <w:r w:rsidR="003D5753">
              <w:rPr>
                <w:b/>
                <w:bCs/>
              </w:rPr>
              <w:t>businesses</w:t>
            </w:r>
            <w:proofErr w:type="gramEnd"/>
            <w:r w:rsidR="003D5753">
              <w:rPr>
                <w:b/>
                <w:bCs/>
              </w:rPr>
              <w:t xml:space="preserve"> and recreational services are </w:t>
            </w:r>
            <w:r w:rsidR="00BD6DEC">
              <w:rPr>
                <w:b/>
                <w:bCs/>
              </w:rPr>
              <w:t>advertised,</w:t>
            </w:r>
            <w:r w:rsidR="003D5753">
              <w:rPr>
                <w:b/>
                <w:bCs/>
              </w:rPr>
              <w:t xml:space="preserve"> and that future stakeholders, visitors and local </w:t>
            </w:r>
            <w:r w:rsidR="003D5753">
              <w:rPr>
                <w:b/>
                <w:bCs/>
              </w:rPr>
              <w:lastRenderedPageBreak/>
              <w:t>community are encouraged to take up the business and community service offer</w:t>
            </w:r>
          </w:p>
        </w:tc>
        <w:tc>
          <w:tcPr>
            <w:tcW w:w="6754" w:type="dxa"/>
          </w:tcPr>
          <w:p w14:paraId="740CADCA" w14:textId="77777777" w:rsidR="00B34C48" w:rsidRDefault="00B34C48" w:rsidP="00B34C48">
            <w:r>
              <w:lastRenderedPageBreak/>
              <w:t>•</w:t>
            </w:r>
            <w:r>
              <w:tab/>
              <w:t>Continue to research different communities which live, work, or visit Sandgate and provide targeted events and activities.</w:t>
            </w:r>
          </w:p>
          <w:p w14:paraId="25740F27" w14:textId="77777777" w:rsidR="00B34C48" w:rsidRDefault="00B34C48" w:rsidP="00B34C48">
            <w:r>
              <w:lastRenderedPageBreak/>
              <w:t>•</w:t>
            </w:r>
            <w:r>
              <w:tab/>
              <w:t>Advertise Sandgate to the tourist industry to encourage take up of services including the cafes and restaurants which form the niche service industry of Sandgate.</w:t>
            </w:r>
          </w:p>
          <w:p w14:paraId="37CB5AB2" w14:textId="271BE18E" w:rsidR="00B34C48" w:rsidRDefault="00B34C48" w:rsidP="00B34C48">
            <w:r>
              <w:t>•</w:t>
            </w:r>
            <w:r>
              <w:tab/>
              <w:t xml:space="preserve">Engage with local businesses, including wedding event coordinators, to showcase Sandgate as a destination for business, </w:t>
            </w:r>
            <w:r w:rsidR="00BD6DEC">
              <w:t>events,</w:t>
            </w:r>
            <w:r>
              <w:t xml:space="preserve"> and recreation.</w:t>
            </w:r>
          </w:p>
        </w:tc>
        <w:tc>
          <w:tcPr>
            <w:tcW w:w="2596" w:type="dxa"/>
          </w:tcPr>
          <w:p w14:paraId="0F632E04" w14:textId="67A399B1" w:rsidR="00B34C48" w:rsidRDefault="003D5753" w:rsidP="00415198">
            <w:r>
              <w:lastRenderedPageBreak/>
              <w:t>Clerk/Members/Local businesses</w:t>
            </w:r>
          </w:p>
        </w:tc>
      </w:tr>
      <w:tr w:rsidR="00F463E1" w14:paraId="78BDD36B" w14:textId="77777777" w:rsidTr="00366363">
        <w:tc>
          <w:tcPr>
            <w:tcW w:w="4598" w:type="dxa"/>
          </w:tcPr>
          <w:p w14:paraId="0A303E78" w14:textId="58D71798" w:rsidR="00B34C48" w:rsidRPr="003D5753" w:rsidRDefault="00B34C48" w:rsidP="00415198">
            <w:pPr>
              <w:rPr>
                <w:b/>
                <w:bCs/>
              </w:rPr>
            </w:pPr>
            <w:r w:rsidRPr="003D5753">
              <w:rPr>
                <w:b/>
                <w:bCs/>
              </w:rPr>
              <w:t>Asset Management</w:t>
            </w:r>
            <w:r w:rsidR="003D5753">
              <w:rPr>
                <w:b/>
                <w:bCs/>
              </w:rPr>
              <w:t xml:space="preserve">- To ensure the preservation, </w:t>
            </w:r>
            <w:r w:rsidR="00366363">
              <w:rPr>
                <w:b/>
                <w:bCs/>
              </w:rPr>
              <w:t>enhancement,</w:t>
            </w:r>
            <w:r w:rsidR="003D5753">
              <w:rPr>
                <w:b/>
                <w:bCs/>
              </w:rPr>
              <w:t xml:space="preserve"> and development of all the community’s assets</w:t>
            </w:r>
          </w:p>
        </w:tc>
        <w:tc>
          <w:tcPr>
            <w:tcW w:w="6754" w:type="dxa"/>
          </w:tcPr>
          <w:p w14:paraId="267A84B1" w14:textId="52DDC7C8" w:rsidR="00B34C48" w:rsidRDefault="00B34C48" w:rsidP="00B34C48">
            <w:r>
              <w:t>•</w:t>
            </w:r>
            <w:r>
              <w:tab/>
              <w:t>Effectively manage and maintain facilities directly run by the parish council including the library, Boathouse, Sir John Moore Memorial, Battery Point and War Memorial.</w:t>
            </w:r>
          </w:p>
          <w:p w14:paraId="77D941CE" w14:textId="1859B4A9" w:rsidR="00B34C48" w:rsidRDefault="00B34C48" w:rsidP="00B34C48">
            <w:r>
              <w:t>•</w:t>
            </w:r>
            <w:r>
              <w:tab/>
              <w:t>Enhance and maintain Sandgate Park and Fremantle Park and promoting both as venues for activities for other community stakeholders.</w:t>
            </w:r>
          </w:p>
        </w:tc>
        <w:tc>
          <w:tcPr>
            <w:tcW w:w="2596" w:type="dxa"/>
          </w:tcPr>
          <w:p w14:paraId="64BE6F39" w14:textId="19F52D2C" w:rsidR="00B34C48" w:rsidRDefault="003D5753" w:rsidP="00415198">
            <w:r>
              <w:t>Clerk/RFO</w:t>
            </w:r>
          </w:p>
        </w:tc>
      </w:tr>
      <w:tr w:rsidR="00F463E1" w14:paraId="5DD6450A" w14:textId="77777777" w:rsidTr="00366363">
        <w:tc>
          <w:tcPr>
            <w:tcW w:w="4598" w:type="dxa"/>
          </w:tcPr>
          <w:p w14:paraId="2564976D" w14:textId="1A573FAE" w:rsidR="00B34C48" w:rsidRPr="003D5753" w:rsidRDefault="00B34C48" w:rsidP="00415198">
            <w:pPr>
              <w:rPr>
                <w:b/>
                <w:bCs/>
              </w:rPr>
            </w:pPr>
            <w:r w:rsidRPr="003D5753">
              <w:rPr>
                <w:b/>
                <w:bCs/>
              </w:rPr>
              <w:t>Local services</w:t>
            </w:r>
            <w:r w:rsidR="003D5753">
              <w:rPr>
                <w:b/>
                <w:bCs/>
              </w:rPr>
              <w:t xml:space="preserve">-To achieve and develop on successful liaison with local services for the benefit of the local community, </w:t>
            </w:r>
            <w:proofErr w:type="gramStart"/>
            <w:r w:rsidR="003D5753">
              <w:rPr>
                <w:b/>
                <w:bCs/>
              </w:rPr>
              <w:t>businesses</w:t>
            </w:r>
            <w:proofErr w:type="gramEnd"/>
            <w:r w:rsidR="003D5753">
              <w:rPr>
                <w:b/>
                <w:bCs/>
              </w:rPr>
              <w:t xml:space="preserve"> and visitors  </w:t>
            </w:r>
          </w:p>
        </w:tc>
        <w:tc>
          <w:tcPr>
            <w:tcW w:w="6754" w:type="dxa"/>
          </w:tcPr>
          <w:p w14:paraId="00D8FEE1" w14:textId="77777777" w:rsidR="00B34C48" w:rsidRDefault="00B34C48" w:rsidP="00B34C48">
            <w:r>
              <w:t>•</w:t>
            </w:r>
            <w:r>
              <w:tab/>
              <w:t>Effectively monitor local service providers to improve the customer experience.</w:t>
            </w:r>
          </w:p>
          <w:p w14:paraId="1FB6AB99" w14:textId="77777777" w:rsidR="00B34C48" w:rsidRDefault="00B34C48" w:rsidP="00B34C48">
            <w:r>
              <w:t>•</w:t>
            </w:r>
            <w:r>
              <w:tab/>
              <w:t>Liaise with the beach management team to ensure that the annual beach replenishment programme is factored into any parish plans for beachside activities and avoid disappointment to stakeholders.</w:t>
            </w:r>
          </w:p>
          <w:p w14:paraId="1F11E546" w14:textId="2E6184AE" w:rsidR="00B34C48" w:rsidRDefault="00B34C48" w:rsidP="00B34C48">
            <w:r>
              <w:t>•</w:t>
            </w:r>
            <w:r>
              <w:tab/>
              <w:t xml:space="preserve">Ensure that all facilities, and public areas are clean and safe- liaising with all utility providers </w:t>
            </w:r>
            <w:r w:rsidR="00BD6DEC">
              <w:t>monthly</w:t>
            </w:r>
            <w:r>
              <w:t xml:space="preserve"> to highlights possible omissions or areas for improvement.</w:t>
            </w:r>
          </w:p>
        </w:tc>
        <w:tc>
          <w:tcPr>
            <w:tcW w:w="2596" w:type="dxa"/>
          </w:tcPr>
          <w:p w14:paraId="0C957C82" w14:textId="4D1CFB51" w:rsidR="00B34C48" w:rsidRDefault="003D5753" w:rsidP="00415198">
            <w:r>
              <w:t>Clerk/ Local service providers</w:t>
            </w:r>
          </w:p>
        </w:tc>
      </w:tr>
      <w:tr w:rsidR="00F463E1" w14:paraId="110CCEF6" w14:textId="77777777" w:rsidTr="00366363">
        <w:tc>
          <w:tcPr>
            <w:tcW w:w="4598" w:type="dxa"/>
          </w:tcPr>
          <w:p w14:paraId="00238B38" w14:textId="2BBEB269" w:rsidR="00B34C48" w:rsidRPr="003D5753" w:rsidRDefault="00B34C48" w:rsidP="00415198">
            <w:pPr>
              <w:rPr>
                <w:b/>
                <w:bCs/>
              </w:rPr>
            </w:pPr>
            <w:r w:rsidRPr="003D5753">
              <w:rPr>
                <w:b/>
                <w:bCs/>
              </w:rPr>
              <w:t>Planning</w:t>
            </w:r>
            <w:r w:rsidR="003D5753">
              <w:rPr>
                <w:b/>
                <w:bCs/>
              </w:rPr>
              <w:t>- To ensure that the development of the parish is in line with the Sandgate Design Statement and that a</w:t>
            </w:r>
            <w:r w:rsidR="00764F57">
              <w:rPr>
                <w:b/>
                <w:bCs/>
              </w:rPr>
              <w:t>ll</w:t>
            </w:r>
            <w:r w:rsidR="003D5753">
              <w:rPr>
                <w:b/>
                <w:bCs/>
              </w:rPr>
              <w:t xml:space="preserve"> developments </w:t>
            </w:r>
            <w:r w:rsidR="00764F57">
              <w:rPr>
                <w:b/>
                <w:bCs/>
              </w:rPr>
              <w:t xml:space="preserve">protect and </w:t>
            </w:r>
            <w:r w:rsidR="003D5753">
              <w:rPr>
                <w:b/>
                <w:bCs/>
              </w:rPr>
              <w:t xml:space="preserve">enhance the existing </w:t>
            </w:r>
            <w:r w:rsidR="003A48C5">
              <w:rPr>
                <w:b/>
                <w:bCs/>
              </w:rPr>
              <w:t xml:space="preserve">built and natural </w:t>
            </w:r>
            <w:r w:rsidR="003D5753">
              <w:rPr>
                <w:b/>
                <w:bCs/>
              </w:rPr>
              <w:t xml:space="preserve">character and aesthetics of the area. </w:t>
            </w:r>
          </w:p>
        </w:tc>
        <w:tc>
          <w:tcPr>
            <w:tcW w:w="6754" w:type="dxa"/>
          </w:tcPr>
          <w:p w14:paraId="76387410" w14:textId="327B0976" w:rsidR="00B34C48" w:rsidRDefault="00B34C48" w:rsidP="00B34C48">
            <w:r>
              <w:t>•</w:t>
            </w:r>
            <w:r>
              <w:tab/>
              <w:t xml:space="preserve">Support the local planning process by providing a timely and considered response to all planning applications in or significantly affecting the </w:t>
            </w:r>
            <w:r w:rsidR="00087DC0">
              <w:t>parish.</w:t>
            </w:r>
          </w:p>
          <w:p w14:paraId="6EC9897D" w14:textId="77777777" w:rsidR="00B34C48" w:rsidRDefault="00B34C48" w:rsidP="00B34C48">
            <w:r>
              <w:t>•</w:t>
            </w:r>
            <w:r>
              <w:tab/>
              <w:t>Develop an awareness in the community, regarding the necessity for engagement in the planning process to protect and improve the local area.</w:t>
            </w:r>
          </w:p>
          <w:p w14:paraId="44AC6E08" w14:textId="0A942DD2" w:rsidR="00B34C48" w:rsidRDefault="00B34C48" w:rsidP="00B34C48">
            <w:r>
              <w:t>•</w:t>
            </w:r>
            <w:r>
              <w:tab/>
              <w:t xml:space="preserve">Promote awareness of and compliance with the Village Design Statement </w:t>
            </w:r>
            <w:r w:rsidR="00087DC0">
              <w:t xml:space="preserve">by applicants, developers, planning officers and </w:t>
            </w:r>
            <w:r w:rsidR="00764F57">
              <w:t>councillors</w:t>
            </w:r>
            <w:r w:rsidR="00087DC0">
              <w:t xml:space="preserve"> at </w:t>
            </w:r>
            <w:r>
              <w:t>district level.</w:t>
            </w:r>
          </w:p>
          <w:p w14:paraId="20ADFC44" w14:textId="0F83CC13" w:rsidR="00764F57" w:rsidRDefault="00B34C48" w:rsidP="00B34C48">
            <w:r>
              <w:t>•</w:t>
            </w:r>
            <w:r>
              <w:tab/>
              <w:t>Engage in future developments at Enbrook Park, involving the community</w:t>
            </w:r>
            <w:r w:rsidR="00087DC0">
              <w:t>,</w:t>
            </w:r>
            <w:r>
              <w:t xml:space="preserve"> to ensure that the parish voice is heard in any future developments of the sites, and that the existing Community Garden and </w:t>
            </w:r>
            <w:r w:rsidR="00087DC0">
              <w:lastRenderedPageBreak/>
              <w:t>open spaces</w:t>
            </w:r>
            <w:r>
              <w:t xml:space="preserve"> are protected</w:t>
            </w:r>
            <w:r w:rsidR="00087DC0">
              <w:t xml:space="preserve">, restricting any development to </w:t>
            </w:r>
            <w:r w:rsidR="00764F57">
              <w:t xml:space="preserve">no more than </w:t>
            </w:r>
            <w:r w:rsidR="00087DC0">
              <w:t>the footprints of the current buildings and car park</w:t>
            </w:r>
          </w:p>
          <w:p w14:paraId="6D6E90D5" w14:textId="4BDC0E5D" w:rsidR="00764F57" w:rsidRDefault="00764F57" w:rsidP="00764F57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Endorse and promote the inclusion of </w:t>
            </w:r>
            <w:proofErr w:type="gramStart"/>
            <w:r>
              <w:t>Green</w:t>
            </w:r>
            <w:proofErr w:type="gramEnd"/>
            <w:r>
              <w:t xml:space="preserve"> initiatives in planning applications </w:t>
            </w:r>
            <w:proofErr w:type="spellStart"/>
            <w:r>
              <w:t>eg</w:t>
            </w:r>
            <w:proofErr w:type="spellEnd"/>
            <w:r>
              <w:t xml:space="preserve"> solar panels, sedum roofs, sustainable urban drainage systems (SUDS) </w:t>
            </w:r>
          </w:p>
          <w:p w14:paraId="6EA09D1C" w14:textId="62D7CD12" w:rsidR="00764F57" w:rsidRDefault="00087DC0" w:rsidP="00764F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Maximise the involvement of District Development committee where the PC objects to applications</w:t>
            </w:r>
          </w:p>
        </w:tc>
        <w:tc>
          <w:tcPr>
            <w:tcW w:w="2596" w:type="dxa"/>
          </w:tcPr>
          <w:p w14:paraId="22B83D1A" w14:textId="09405569" w:rsidR="00B34C48" w:rsidRDefault="00485174" w:rsidP="00415198">
            <w:r>
              <w:lastRenderedPageBreak/>
              <w:t>Clerk/Members/Planning Officers</w:t>
            </w:r>
          </w:p>
        </w:tc>
      </w:tr>
      <w:tr w:rsidR="00F463E1" w14:paraId="0296F694" w14:textId="77777777" w:rsidTr="00366363">
        <w:tc>
          <w:tcPr>
            <w:tcW w:w="4598" w:type="dxa"/>
          </w:tcPr>
          <w:p w14:paraId="336C75E8" w14:textId="36AE9324" w:rsidR="00B34C48" w:rsidRPr="00485174" w:rsidRDefault="00B34C48" w:rsidP="00415198">
            <w:pPr>
              <w:rPr>
                <w:b/>
                <w:bCs/>
              </w:rPr>
            </w:pPr>
            <w:r w:rsidRPr="00485174">
              <w:rPr>
                <w:b/>
                <w:bCs/>
              </w:rPr>
              <w:t>Community Safety</w:t>
            </w:r>
            <w:r w:rsidR="00485174" w:rsidRPr="00485174">
              <w:rPr>
                <w:b/>
                <w:bCs/>
              </w:rPr>
              <w:t>-To ensure that the health and</w:t>
            </w:r>
            <w:r w:rsidR="00485174">
              <w:rPr>
                <w:b/>
                <w:bCs/>
              </w:rPr>
              <w:t xml:space="preserve"> safety of all the community is prioritised and to improve awareness of life saving strategies</w:t>
            </w:r>
          </w:p>
        </w:tc>
        <w:tc>
          <w:tcPr>
            <w:tcW w:w="6754" w:type="dxa"/>
          </w:tcPr>
          <w:p w14:paraId="7919848D" w14:textId="77777777" w:rsidR="00B34C48" w:rsidRDefault="00B34C48" w:rsidP="00B34C48">
            <w:r>
              <w:t>•</w:t>
            </w:r>
            <w:r>
              <w:tab/>
              <w:t>Ensure the safety of parish residents and businesses is at the forefront of local police and PCSO priorities and activities.</w:t>
            </w:r>
          </w:p>
          <w:p w14:paraId="1BD3C61B" w14:textId="5AB10C85" w:rsidR="00485174" w:rsidRDefault="00B34C48" w:rsidP="00485174">
            <w:r>
              <w:t>•</w:t>
            </w:r>
            <w:r>
              <w:tab/>
              <w:t>Liaise with local police to provide an ongoing series of community safety events, including development of neighbourhood watch scheme.</w:t>
            </w:r>
          </w:p>
          <w:p w14:paraId="553A43C6" w14:textId="1CE16709" w:rsidR="00485174" w:rsidRDefault="00485174" w:rsidP="004851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720"/>
            </w:pPr>
            <w:r>
              <w:t xml:space="preserve">Ensuring that all Health and Safety protocols are strictly adhered to at all events and </w:t>
            </w:r>
            <w:r w:rsidR="00366363">
              <w:t>activities.</w:t>
            </w:r>
          </w:p>
          <w:p w14:paraId="064BD3F3" w14:textId="3C807690" w:rsidR="00485174" w:rsidRDefault="00485174" w:rsidP="004851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</w:pPr>
            <w:r>
              <w:t xml:space="preserve">Engaging the RNLI to produce a display promoting safe seaside practices and </w:t>
            </w:r>
            <w:r w:rsidR="00366363">
              <w:t>protocols.</w:t>
            </w:r>
          </w:p>
          <w:p w14:paraId="62F40425" w14:textId="6D563A3E" w:rsidR="00B34C48" w:rsidRDefault="00B34C48" w:rsidP="00B34C48">
            <w:r>
              <w:t>•</w:t>
            </w:r>
            <w:r>
              <w:tab/>
              <w:t>Provide an ongoing series of defibrillator training with the service provider for all staff and include all local businesses in the offer.</w:t>
            </w:r>
          </w:p>
        </w:tc>
        <w:tc>
          <w:tcPr>
            <w:tcW w:w="2596" w:type="dxa"/>
          </w:tcPr>
          <w:p w14:paraId="464FE87E" w14:textId="2B80BFCF" w:rsidR="00B34C48" w:rsidRDefault="00485174" w:rsidP="00415198">
            <w:r>
              <w:t>Clerks/Members</w:t>
            </w:r>
          </w:p>
        </w:tc>
      </w:tr>
      <w:tr w:rsidR="00F463E1" w14:paraId="7C5282F6" w14:textId="77777777" w:rsidTr="00366363">
        <w:tc>
          <w:tcPr>
            <w:tcW w:w="4598" w:type="dxa"/>
          </w:tcPr>
          <w:p w14:paraId="747E4635" w14:textId="43016F61" w:rsidR="00B34C48" w:rsidRPr="00485174" w:rsidRDefault="00B34C48" w:rsidP="00415198">
            <w:pPr>
              <w:rPr>
                <w:b/>
                <w:bCs/>
              </w:rPr>
            </w:pPr>
            <w:r w:rsidRPr="00485174">
              <w:rPr>
                <w:b/>
                <w:bCs/>
              </w:rPr>
              <w:t>Community Events</w:t>
            </w:r>
            <w:r w:rsidR="00485174">
              <w:rPr>
                <w:b/>
                <w:bCs/>
              </w:rPr>
              <w:t>-To produce an enhanced schedule of activities and events for all the community, encouraging the take up of local business offers and increased membership of the library</w:t>
            </w:r>
          </w:p>
        </w:tc>
        <w:tc>
          <w:tcPr>
            <w:tcW w:w="6754" w:type="dxa"/>
          </w:tcPr>
          <w:p w14:paraId="0B90B77F" w14:textId="77777777" w:rsidR="00485174" w:rsidRDefault="00B34C48" w:rsidP="00B34C48">
            <w:r>
              <w:t>•</w:t>
            </w:r>
            <w:r>
              <w:tab/>
              <w:t>Support the delivery of an annual programme of quality and inclusive events for all residents and visitors to promote Sandgate as a tourist and business destination.</w:t>
            </w:r>
          </w:p>
          <w:p w14:paraId="68CCFBEF" w14:textId="2123E6E7" w:rsidR="00B34C48" w:rsidRDefault="00B34C48" w:rsidP="00B34C48">
            <w:r>
              <w:t>•</w:t>
            </w:r>
            <w:r>
              <w:tab/>
              <w:t xml:space="preserve">Continue to develop the library as a community hub with extended hours use for </w:t>
            </w:r>
            <w:r w:rsidR="00BD6DEC">
              <w:t>displays and</w:t>
            </w:r>
            <w:r>
              <w:t xml:space="preserve"> talks by local and international authors and artists.</w:t>
            </w:r>
          </w:p>
          <w:p w14:paraId="1AE9E6C7" w14:textId="77777777" w:rsidR="00B34C48" w:rsidRDefault="00B34C48" w:rsidP="00B34C48">
            <w:r>
              <w:t>•</w:t>
            </w:r>
            <w:r>
              <w:tab/>
              <w:t>Renew and extend the holiday craft activities for local children aligning activities with current events and literary themes.</w:t>
            </w:r>
          </w:p>
          <w:p w14:paraId="1A4729CD" w14:textId="77777777" w:rsidR="00B34C48" w:rsidRDefault="00B34C48" w:rsidP="00B34C48">
            <w:r>
              <w:t>•</w:t>
            </w:r>
            <w:r>
              <w:tab/>
              <w:t>Develop the digital offer in the library with the Folkestone Hythe Digital Champions to improve local computer literacy statistics.</w:t>
            </w:r>
          </w:p>
          <w:p w14:paraId="371B5838" w14:textId="77777777" w:rsidR="00B34C48" w:rsidRDefault="00B34C48" w:rsidP="00B34C48">
            <w:r>
              <w:t>•</w:t>
            </w:r>
            <w:r>
              <w:tab/>
              <w:t>Retain Seaside Award status and ensure wide spread marketing of Sandgate beach as a safe, clean environment for all.</w:t>
            </w:r>
          </w:p>
          <w:p w14:paraId="2B58532C" w14:textId="2F141F68" w:rsidR="00B34C48" w:rsidRDefault="00B34C48" w:rsidP="00B34C48">
            <w:r>
              <w:t>•</w:t>
            </w:r>
            <w:r>
              <w:tab/>
              <w:t xml:space="preserve">Extend the Sea Festival offer to neighbouring councils and businesses to ensure the most vibrant and attractive event, with a </w:t>
            </w:r>
            <w:r>
              <w:lastRenderedPageBreak/>
              <w:t>diverse array of different stalls and  increase participation and customer satisfaction.</w:t>
            </w:r>
          </w:p>
        </w:tc>
        <w:tc>
          <w:tcPr>
            <w:tcW w:w="2596" w:type="dxa"/>
          </w:tcPr>
          <w:p w14:paraId="767B8963" w14:textId="6040A82D" w:rsidR="00B34C48" w:rsidRDefault="00485174" w:rsidP="00415198">
            <w:r>
              <w:lastRenderedPageBreak/>
              <w:t>Clerks/Members/Local Community Groups</w:t>
            </w:r>
          </w:p>
        </w:tc>
      </w:tr>
      <w:tr w:rsidR="00B34C48" w14:paraId="66CBF5E3" w14:textId="77777777" w:rsidTr="00366363">
        <w:tc>
          <w:tcPr>
            <w:tcW w:w="4598" w:type="dxa"/>
          </w:tcPr>
          <w:p w14:paraId="215B56B4" w14:textId="23D77D5B" w:rsidR="00B34C48" w:rsidRDefault="00B34C48" w:rsidP="00415198">
            <w:r w:rsidRPr="00485174">
              <w:rPr>
                <w:b/>
                <w:bCs/>
              </w:rPr>
              <w:t>Traffic management</w:t>
            </w:r>
            <w:r w:rsidR="00485174" w:rsidRPr="00485174">
              <w:rPr>
                <w:b/>
                <w:bCs/>
              </w:rPr>
              <w:t>-To ensure improved safety on all the highways of Sandgate for all users</w:t>
            </w:r>
          </w:p>
        </w:tc>
        <w:tc>
          <w:tcPr>
            <w:tcW w:w="6754" w:type="dxa"/>
          </w:tcPr>
          <w:p w14:paraId="6EC8F1E7" w14:textId="77777777" w:rsidR="00B34C48" w:rsidRDefault="00B34C48" w:rsidP="00B34C48">
            <w:r>
              <w:t>•</w:t>
            </w:r>
            <w:r>
              <w:tab/>
              <w:t>Advocate residents’ and businesses’ views on parish traffic management and parking to all responsible authorities.</w:t>
            </w:r>
          </w:p>
          <w:p w14:paraId="2DF51385" w14:textId="77777777" w:rsidR="00B34C48" w:rsidRDefault="00B34C48" w:rsidP="00B34C48">
            <w:r>
              <w:t>•</w:t>
            </w:r>
            <w:r>
              <w:tab/>
              <w:t>Produce a live Highways Improvement Plan and ensure that all instances of misuse of the highways are actively reported and reviewed for response.</w:t>
            </w:r>
          </w:p>
          <w:p w14:paraId="4819FAD3" w14:textId="2DFA9EAC" w:rsidR="00B34C48" w:rsidRDefault="00B34C48" w:rsidP="00B34C48">
            <w:r>
              <w:t>•</w:t>
            </w:r>
            <w:r>
              <w:tab/>
              <w:t>Continue to campaign for 20 is Plenty on all parish roads, working in concert with local businesses and schools to achieve greater road safety.</w:t>
            </w:r>
          </w:p>
        </w:tc>
        <w:tc>
          <w:tcPr>
            <w:tcW w:w="2596" w:type="dxa"/>
          </w:tcPr>
          <w:p w14:paraId="27B85CC7" w14:textId="73B0D78E" w:rsidR="00B34C48" w:rsidRDefault="00485174" w:rsidP="00415198">
            <w:r>
              <w:t>Clerks/Members/Traffic Services</w:t>
            </w:r>
          </w:p>
        </w:tc>
      </w:tr>
      <w:tr w:rsidR="00B34C48" w14:paraId="4824F456" w14:textId="77777777" w:rsidTr="00366363">
        <w:tc>
          <w:tcPr>
            <w:tcW w:w="4598" w:type="dxa"/>
          </w:tcPr>
          <w:p w14:paraId="1AC938D4" w14:textId="72AFDF2F" w:rsidR="00B34C48" w:rsidRPr="00485174" w:rsidRDefault="00B34C48" w:rsidP="00415198">
            <w:pPr>
              <w:rPr>
                <w:b/>
                <w:bCs/>
              </w:rPr>
            </w:pPr>
            <w:r w:rsidRPr="00485174">
              <w:rPr>
                <w:b/>
                <w:bCs/>
              </w:rPr>
              <w:t xml:space="preserve">Communicate effectively with all local residents, businesses and community groups promoting openness and </w:t>
            </w:r>
            <w:r w:rsidR="00366363" w:rsidRPr="00485174">
              <w:rPr>
                <w:b/>
                <w:bCs/>
              </w:rPr>
              <w:t>transparency .</w:t>
            </w:r>
          </w:p>
        </w:tc>
        <w:tc>
          <w:tcPr>
            <w:tcW w:w="6754" w:type="dxa"/>
          </w:tcPr>
          <w:p w14:paraId="51FC19C4" w14:textId="1AB2C23D" w:rsidR="00B34C48" w:rsidRDefault="00B34C48" w:rsidP="00F52B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664"/>
            </w:pPr>
            <w:r>
              <w:t>Use website as a key tool to promote Council transparency, with ongoing monthly financial; reporting, all meeting papers available online, and video broadcast of meetings continuing on our Facebook page.</w:t>
            </w:r>
          </w:p>
          <w:p w14:paraId="4F755708" w14:textId="77777777" w:rsidR="00B34C48" w:rsidRDefault="00B34C48" w:rsidP="00B34C48">
            <w:r>
              <w:t>•</w:t>
            </w:r>
            <w:r>
              <w:tab/>
              <w:t>Increase the number of Talk time events in the library.</w:t>
            </w:r>
          </w:p>
          <w:p w14:paraId="6398BE26" w14:textId="77777777" w:rsidR="00B34C48" w:rsidRDefault="00B34C48" w:rsidP="00B34C48">
            <w:r>
              <w:t>•</w:t>
            </w:r>
            <w:r>
              <w:tab/>
              <w:t>Establish a programme of online talks on issues of local importance.</w:t>
            </w:r>
          </w:p>
          <w:p w14:paraId="75C39563" w14:textId="1BCA781A" w:rsidR="00B34C48" w:rsidRDefault="00B34C48" w:rsidP="00B34C48">
            <w:r>
              <w:t>•</w:t>
            </w:r>
            <w:r>
              <w:tab/>
              <w:t xml:space="preserve">Secure funding and produce a quarterly parish newsletter. </w:t>
            </w:r>
          </w:p>
          <w:p w14:paraId="416E4F58" w14:textId="4BC2B981" w:rsidR="00F463E1" w:rsidRDefault="00F463E1" w:rsidP="00F463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</w:pPr>
            <w:r>
              <w:t xml:space="preserve">Publication and delivery of </w:t>
            </w:r>
            <w:r w:rsidRPr="00F463E1">
              <w:t xml:space="preserve">2 all door newsletters, and </w:t>
            </w:r>
            <w:r>
              <w:t>fortnightly</w:t>
            </w:r>
            <w:r w:rsidRPr="00F463E1">
              <w:t xml:space="preserve"> email, </w:t>
            </w:r>
            <w:r w:rsidR="00BD6DEC" w:rsidRPr="00F463E1">
              <w:t>website,</w:t>
            </w:r>
            <w:r w:rsidRPr="00F463E1">
              <w:t xml:space="preserve"> and social media update strategy</w:t>
            </w:r>
          </w:p>
          <w:p w14:paraId="6B46F225" w14:textId="77777777" w:rsidR="00B34C48" w:rsidRDefault="00B34C48" w:rsidP="00B34C48">
            <w:r>
              <w:t>•</w:t>
            </w:r>
            <w:r>
              <w:tab/>
              <w:t>Establish an additional parish noticeboard at the top of the borough to ensure that all the new residents in the Shorncliffe Development have a local conduit for parish news</w:t>
            </w:r>
          </w:p>
          <w:p w14:paraId="3495D43D" w14:textId="221EEE0E" w:rsidR="00B34C48" w:rsidRDefault="00B34C48" w:rsidP="00B34C48">
            <w:r>
              <w:t>•</w:t>
            </w:r>
            <w:r>
              <w:tab/>
              <w:t xml:space="preserve">Use all opportunities to increase the mail out list to engage with the maximum of </w:t>
            </w:r>
            <w:r w:rsidR="00BD6DEC">
              <w:t>residents</w:t>
            </w:r>
            <w:r>
              <w:t>.</w:t>
            </w:r>
          </w:p>
        </w:tc>
        <w:tc>
          <w:tcPr>
            <w:tcW w:w="2596" w:type="dxa"/>
          </w:tcPr>
          <w:p w14:paraId="0C9A8EF3" w14:textId="77777777" w:rsidR="00F463E1" w:rsidRDefault="00485174" w:rsidP="00415198">
            <w:r>
              <w:t>Clerks/Members</w:t>
            </w:r>
          </w:p>
          <w:p w14:paraId="3905DEB5" w14:textId="77777777" w:rsidR="00F463E1" w:rsidRDefault="00F463E1" w:rsidP="00415198"/>
          <w:p w14:paraId="23C73FE7" w14:textId="77777777" w:rsidR="00F463E1" w:rsidRDefault="00F463E1" w:rsidP="00415198"/>
          <w:p w14:paraId="351A6349" w14:textId="77777777" w:rsidR="00F463E1" w:rsidRDefault="00F463E1" w:rsidP="00415198"/>
          <w:p w14:paraId="018A3AA1" w14:textId="77777777" w:rsidR="00F463E1" w:rsidRDefault="00F463E1" w:rsidP="00415198"/>
          <w:p w14:paraId="75583C42" w14:textId="77777777" w:rsidR="00F463E1" w:rsidRDefault="00F463E1" w:rsidP="00415198"/>
          <w:p w14:paraId="5F9AFB57" w14:textId="77777777" w:rsidR="00F463E1" w:rsidRDefault="00F463E1" w:rsidP="00415198"/>
          <w:p w14:paraId="72FBFCFA" w14:textId="57A92F24" w:rsidR="00B34C48" w:rsidRDefault="00F463E1" w:rsidP="00415198">
            <w:r w:rsidRPr="00F463E1">
              <w:t>Environment committee to lead?</w:t>
            </w:r>
          </w:p>
        </w:tc>
      </w:tr>
      <w:tr w:rsidR="00B34C48" w14:paraId="2CFCA221" w14:textId="77777777" w:rsidTr="00366363">
        <w:tc>
          <w:tcPr>
            <w:tcW w:w="4598" w:type="dxa"/>
          </w:tcPr>
          <w:p w14:paraId="4EAA9C7A" w14:textId="75518711" w:rsidR="00B34C48" w:rsidRPr="00485174" w:rsidRDefault="00F52B29" w:rsidP="00415198">
            <w:pPr>
              <w:rPr>
                <w:b/>
                <w:bCs/>
              </w:rPr>
            </w:pPr>
            <w:r w:rsidRPr="00485174">
              <w:rPr>
                <w:b/>
                <w:bCs/>
              </w:rPr>
              <w:t>Financial management</w:t>
            </w:r>
          </w:p>
        </w:tc>
        <w:tc>
          <w:tcPr>
            <w:tcW w:w="6754" w:type="dxa"/>
          </w:tcPr>
          <w:p w14:paraId="7BC8431B" w14:textId="77777777" w:rsidR="00F52B29" w:rsidRDefault="00F52B29" w:rsidP="00F52B29">
            <w:r>
              <w:t>•</w:t>
            </w:r>
            <w:r>
              <w:tab/>
              <w:t>Maximise grant, fund and donation income and ensure that all monies expended provide value for money.</w:t>
            </w:r>
          </w:p>
          <w:p w14:paraId="4CC36A34" w14:textId="0210A2F9" w:rsidR="00F52B29" w:rsidRDefault="00F52B29" w:rsidP="00F52B29">
            <w:r>
              <w:t>•</w:t>
            </w:r>
            <w:r>
              <w:tab/>
              <w:t xml:space="preserve">Prioritise the investment of PWLB funding to secure the best achievable </w:t>
            </w:r>
            <w:r w:rsidR="00BD6DEC">
              <w:t>yield.</w:t>
            </w:r>
            <w:r>
              <w:t xml:space="preserve"> </w:t>
            </w:r>
          </w:p>
          <w:p w14:paraId="0241C745" w14:textId="7DDCECD1" w:rsidR="00B34C48" w:rsidRDefault="00F52B29" w:rsidP="00F52B29">
            <w:r>
              <w:t>•</w:t>
            </w:r>
            <w:r>
              <w:tab/>
              <w:t xml:space="preserve">investigate possible </w:t>
            </w:r>
            <w:r w:rsidR="00366363">
              <w:t>minimal risk</w:t>
            </w:r>
            <w:r>
              <w:t xml:space="preserve"> strategies for PWLB funding in projects for future community benefit</w:t>
            </w:r>
            <w:r w:rsidR="00654B03">
              <w:t xml:space="preserve">, </w:t>
            </w:r>
            <w:r w:rsidR="00654B03" w:rsidRPr="00654B03">
              <w:rPr>
                <w:b/>
                <w:bCs/>
                <w:i/>
                <w:iCs/>
              </w:rPr>
              <w:t>(subject to community assent for any spending project</w:t>
            </w:r>
            <w:r w:rsidR="00654B03">
              <w:t>)</w:t>
            </w:r>
            <w:r w:rsidR="00654B03" w:rsidRPr="00654B03">
              <w:t xml:space="preserve"> </w:t>
            </w:r>
            <w:r w:rsidR="00654B03">
              <w:t xml:space="preserve">while </w:t>
            </w:r>
            <w:r w:rsidR="00654B03" w:rsidRPr="00654B03">
              <w:t>still maintaining a return to fund interest payments.</w:t>
            </w:r>
          </w:p>
        </w:tc>
        <w:tc>
          <w:tcPr>
            <w:tcW w:w="2596" w:type="dxa"/>
          </w:tcPr>
          <w:p w14:paraId="30865877" w14:textId="2664D7FA" w:rsidR="00B34C48" w:rsidRDefault="00485174" w:rsidP="00415198">
            <w:r>
              <w:t>RFO/</w:t>
            </w:r>
            <w:r w:rsidR="00E707B5">
              <w:t>Finance Committee</w:t>
            </w:r>
            <w:r>
              <w:t>/Members</w:t>
            </w:r>
          </w:p>
        </w:tc>
      </w:tr>
      <w:tr w:rsidR="00F463E1" w14:paraId="6C85CB6B" w14:textId="77777777" w:rsidTr="00366363">
        <w:tc>
          <w:tcPr>
            <w:tcW w:w="4598" w:type="dxa"/>
          </w:tcPr>
          <w:p w14:paraId="3D2EFAA3" w14:textId="73B32FCC" w:rsidR="00F463E1" w:rsidRPr="00485174" w:rsidRDefault="00F463E1" w:rsidP="0041519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Corporate- To ensure that all policies and procedures align with current legislations</w:t>
            </w:r>
          </w:p>
        </w:tc>
        <w:tc>
          <w:tcPr>
            <w:tcW w:w="6754" w:type="dxa"/>
          </w:tcPr>
          <w:p w14:paraId="56188232" w14:textId="7BA05411" w:rsidR="00654B03" w:rsidRDefault="00F463E1" w:rsidP="00F463E1">
            <w:pPr>
              <w:pStyle w:val="ListParagraph"/>
              <w:numPr>
                <w:ilvl w:val="0"/>
                <w:numId w:val="9"/>
              </w:numPr>
              <w:ind w:hanging="720"/>
            </w:pPr>
            <w:r>
              <w:t>F</w:t>
            </w:r>
            <w:r w:rsidRPr="00F463E1">
              <w:t xml:space="preserve">ull policy review and update led by the Clerk following their </w:t>
            </w:r>
            <w:proofErr w:type="spellStart"/>
            <w:r w:rsidRPr="00F463E1">
              <w:t>Ci</w:t>
            </w:r>
            <w:r w:rsidR="006B29B8">
              <w:t>LCA</w:t>
            </w:r>
            <w:proofErr w:type="spellEnd"/>
            <w:r w:rsidR="006B29B8">
              <w:t xml:space="preserve"> </w:t>
            </w:r>
            <w:r w:rsidR="00BD6DEC" w:rsidRPr="00F463E1">
              <w:t>qualification.</w:t>
            </w:r>
          </w:p>
          <w:p w14:paraId="4E520AF8" w14:textId="5D83573B" w:rsidR="00F463E1" w:rsidRDefault="00654B03" w:rsidP="00654B03">
            <w:pPr>
              <w:pStyle w:val="ListParagraph"/>
              <w:numPr>
                <w:ilvl w:val="0"/>
                <w:numId w:val="9"/>
              </w:numPr>
              <w:ind w:hanging="720"/>
            </w:pPr>
            <w:r>
              <w:t>Aspiring to Achieving</w:t>
            </w:r>
            <w:r w:rsidRPr="00654B03">
              <w:t xml:space="preserve"> "Quality Council" status for Sandgate</w:t>
            </w:r>
          </w:p>
        </w:tc>
        <w:tc>
          <w:tcPr>
            <w:tcW w:w="2596" w:type="dxa"/>
          </w:tcPr>
          <w:p w14:paraId="3C7B9812" w14:textId="5F0FC25E" w:rsidR="00F463E1" w:rsidRDefault="00F463E1" w:rsidP="00415198">
            <w:r>
              <w:t>Clerk</w:t>
            </w:r>
            <w:r w:rsidR="006B29B8">
              <w:t>/RFO/Members</w:t>
            </w:r>
          </w:p>
        </w:tc>
      </w:tr>
    </w:tbl>
    <w:p w14:paraId="00406593" w14:textId="0D319B03" w:rsidR="00415198" w:rsidRDefault="00415198" w:rsidP="00415198"/>
    <w:sectPr w:rsidR="00415198" w:rsidSect="00B34C4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0826" w14:textId="77777777" w:rsidR="0038022E" w:rsidRDefault="0038022E" w:rsidP="00182391">
      <w:pPr>
        <w:spacing w:after="0" w:line="240" w:lineRule="auto"/>
      </w:pPr>
      <w:r>
        <w:separator/>
      </w:r>
    </w:p>
  </w:endnote>
  <w:endnote w:type="continuationSeparator" w:id="0">
    <w:p w14:paraId="49DF19A7" w14:textId="77777777" w:rsidR="0038022E" w:rsidRDefault="0038022E" w:rsidP="0018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Unico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DD01" w14:textId="77777777" w:rsidR="0038022E" w:rsidRDefault="0038022E" w:rsidP="00182391">
      <w:pPr>
        <w:spacing w:after="0" w:line="240" w:lineRule="auto"/>
      </w:pPr>
      <w:r>
        <w:separator/>
      </w:r>
    </w:p>
  </w:footnote>
  <w:footnote w:type="continuationSeparator" w:id="0">
    <w:p w14:paraId="7E1A27E0" w14:textId="77777777" w:rsidR="0038022E" w:rsidRDefault="0038022E" w:rsidP="0018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2094" w14:textId="77777777" w:rsidR="00182391" w:rsidRDefault="0018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EE4"/>
    <w:multiLevelType w:val="hybridMultilevel"/>
    <w:tmpl w:val="107A851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208"/>
    <w:multiLevelType w:val="hybridMultilevel"/>
    <w:tmpl w:val="94DC2A6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4320D"/>
    <w:multiLevelType w:val="hybridMultilevel"/>
    <w:tmpl w:val="834E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71A"/>
    <w:multiLevelType w:val="hybridMultilevel"/>
    <w:tmpl w:val="98C8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2CC9"/>
    <w:multiLevelType w:val="hybridMultilevel"/>
    <w:tmpl w:val="B432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6821"/>
    <w:multiLevelType w:val="hybridMultilevel"/>
    <w:tmpl w:val="0412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7340"/>
    <w:multiLevelType w:val="hybridMultilevel"/>
    <w:tmpl w:val="8222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1E00"/>
    <w:multiLevelType w:val="hybridMultilevel"/>
    <w:tmpl w:val="CF521962"/>
    <w:lvl w:ilvl="0" w:tplc="231A1FB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90BB8"/>
    <w:multiLevelType w:val="hybridMultilevel"/>
    <w:tmpl w:val="AB04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B048F"/>
    <w:multiLevelType w:val="hybridMultilevel"/>
    <w:tmpl w:val="34AA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B30A1"/>
    <w:multiLevelType w:val="hybridMultilevel"/>
    <w:tmpl w:val="7DD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1823"/>
    <w:multiLevelType w:val="hybridMultilevel"/>
    <w:tmpl w:val="3716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F060B"/>
    <w:multiLevelType w:val="hybridMultilevel"/>
    <w:tmpl w:val="15CE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104EC"/>
    <w:multiLevelType w:val="hybridMultilevel"/>
    <w:tmpl w:val="93CA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838698">
    <w:abstractNumId w:val="11"/>
  </w:num>
  <w:num w:numId="2" w16cid:durableId="1899246916">
    <w:abstractNumId w:val="10"/>
  </w:num>
  <w:num w:numId="3" w16cid:durableId="2133741172">
    <w:abstractNumId w:val="10"/>
  </w:num>
  <w:num w:numId="4" w16cid:durableId="573003766">
    <w:abstractNumId w:val="6"/>
  </w:num>
  <w:num w:numId="5" w16cid:durableId="942299155">
    <w:abstractNumId w:val="7"/>
  </w:num>
  <w:num w:numId="6" w16cid:durableId="318506517">
    <w:abstractNumId w:val="0"/>
  </w:num>
  <w:num w:numId="7" w16cid:durableId="1860193086">
    <w:abstractNumId w:val="1"/>
  </w:num>
  <w:num w:numId="8" w16cid:durableId="1676228419">
    <w:abstractNumId w:val="9"/>
  </w:num>
  <w:num w:numId="9" w16cid:durableId="539249467">
    <w:abstractNumId w:val="12"/>
  </w:num>
  <w:num w:numId="10" w16cid:durableId="1942495237">
    <w:abstractNumId w:val="3"/>
  </w:num>
  <w:num w:numId="11" w16cid:durableId="1679579964">
    <w:abstractNumId w:val="8"/>
  </w:num>
  <w:num w:numId="12" w16cid:durableId="1696614281">
    <w:abstractNumId w:val="4"/>
  </w:num>
  <w:num w:numId="13" w16cid:durableId="293681251">
    <w:abstractNumId w:val="13"/>
  </w:num>
  <w:num w:numId="14" w16cid:durableId="563377280">
    <w:abstractNumId w:val="5"/>
  </w:num>
  <w:num w:numId="15" w16cid:durableId="62809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F2"/>
    <w:rsid w:val="000077A3"/>
    <w:rsid w:val="000616D5"/>
    <w:rsid w:val="00083030"/>
    <w:rsid w:val="00087DC0"/>
    <w:rsid w:val="001370A5"/>
    <w:rsid w:val="00182391"/>
    <w:rsid w:val="001C4397"/>
    <w:rsid w:val="002E39D6"/>
    <w:rsid w:val="00311F25"/>
    <w:rsid w:val="00366363"/>
    <w:rsid w:val="0038022E"/>
    <w:rsid w:val="003922E7"/>
    <w:rsid w:val="003A48C5"/>
    <w:rsid w:val="003D5753"/>
    <w:rsid w:val="003E2E07"/>
    <w:rsid w:val="003F0320"/>
    <w:rsid w:val="00415198"/>
    <w:rsid w:val="00485174"/>
    <w:rsid w:val="0049526B"/>
    <w:rsid w:val="004A4B78"/>
    <w:rsid w:val="00654B03"/>
    <w:rsid w:val="00673D76"/>
    <w:rsid w:val="00691694"/>
    <w:rsid w:val="006A3AA6"/>
    <w:rsid w:val="006B29B8"/>
    <w:rsid w:val="006D288A"/>
    <w:rsid w:val="00764F57"/>
    <w:rsid w:val="007C3EF2"/>
    <w:rsid w:val="007D3478"/>
    <w:rsid w:val="008663E9"/>
    <w:rsid w:val="009B124C"/>
    <w:rsid w:val="009E0B24"/>
    <w:rsid w:val="00A4571F"/>
    <w:rsid w:val="00A96EA8"/>
    <w:rsid w:val="00AE6BBF"/>
    <w:rsid w:val="00AF3FD8"/>
    <w:rsid w:val="00AF6266"/>
    <w:rsid w:val="00B042BF"/>
    <w:rsid w:val="00B34C48"/>
    <w:rsid w:val="00BD6DEC"/>
    <w:rsid w:val="00CF66A8"/>
    <w:rsid w:val="00DA32B9"/>
    <w:rsid w:val="00E707B5"/>
    <w:rsid w:val="00EC5800"/>
    <w:rsid w:val="00F463E1"/>
    <w:rsid w:val="00F52B29"/>
    <w:rsid w:val="00F539D0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E777"/>
  <w15:chartTrackingRefBased/>
  <w15:docId w15:val="{43E5BEC5-7286-4CDF-9713-28C33998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1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198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D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91"/>
  </w:style>
  <w:style w:type="paragraph" w:styleId="Footer">
    <w:name w:val="footer"/>
    <w:basedOn w:val="Normal"/>
    <w:link w:val="FooterChar"/>
    <w:uiPriority w:val="99"/>
    <w:unhideWhenUsed/>
    <w:rsid w:val="0018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6829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</dc:creator>
  <cp:keywords/>
  <dc:description/>
  <cp:lastModifiedBy>Sandgate Parish Council</cp:lastModifiedBy>
  <cp:revision>2</cp:revision>
  <cp:lastPrinted>2023-06-05T08:41:00Z</cp:lastPrinted>
  <dcterms:created xsi:type="dcterms:W3CDTF">2023-08-10T11:35:00Z</dcterms:created>
  <dcterms:modified xsi:type="dcterms:W3CDTF">2023-08-10T11:35:00Z</dcterms:modified>
</cp:coreProperties>
</file>